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January 28, 2021</w:t>
        <w:br w:type="textWrapping"/>
        <w:br w:type="textWrapping"/>
        <w:t xml:space="preserve">To: Chairperson Lathrop and Members of the Judiciary Committee </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From: Julie Erikson, Lobbyist, Voices for Children in Nebraska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Re: LB 89 - Allow persons eighteen years of age to make health care decisions and persons under nineteen years of age in correctional facilities to consent to medical and mental health care</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Dear Chairperson Lathrop and Members of the Judiciary Committee,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Nebraska’s unique age of majority leaves many young Nebraskans in a complicated situation when it comes to health care decision making. Voices for Children in Nebraska supports LB 89 to allow Nebraskans age 18 and those under age 19 committed to the Nebraska Department of Correctional Services to make health care decisions on their own behalf without the consent of their parent or guardian.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At the age of 18, most young people are setting off for the first time to start an independent life. For young adults who have moved away from home for the first time to attend college, or those who are pregnant, seeking consent from their parent or guardian may significantly delay the process of seeking important health care treatment, or prevent treatment from occurring altogether. Several states allow some minors to make health care decisions without parental consent, and others exempt minors by their status—for example, minors who are living apart from their parents, those who have joined the military, and those who are incarcerated.</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Research shows that maturity and decision-making abilities progress along different timelines. Indeed, the American Academy of Pediatrics has adopted an official policy, in recognition of brain development research, that prioritizes a process that includes the opinions of children and adolescents in pediatric care.</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LB 89 balances Nebraska’s unique age of majority with the very practical need for young adults to be able to access medical care. We thank Senator Morfeld for his leadership on this issue and would urge the committee to advance LB 89.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E">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Abigail English et al., “State Minor Consent Laws: A Summary 3rd Edition,” Center for Adolescent Health &amp; the Law, January 2010, 3, </w:t>
      </w:r>
      <w:hyperlink r:id="rId1">
        <w:r w:rsidDel="00000000" w:rsidR="00000000" w:rsidRPr="00000000">
          <w:rPr>
            <w:color w:val="1155cc"/>
            <w:sz w:val="20"/>
            <w:szCs w:val="20"/>
            <w:u w:val="single"/>
            <w:vertAlign w:val="superscript"/>
            <w:rtl w:val="0"/>
          </w:rPr>
          <w:t xml:space="preserve">https://www.freelists.org/archives/hilac /02-2014/pdftRo8tw89mb.pdf</w:t>
        </w:r>
      </w:hyperlink>
      <w:r w:rsidDel="00000000" w:rsidR="00000000" w:rsidRPr="00000000">
        <w:rPr>
          <w:sz w:val="20"/>
          <w:szCs w:val="20"/>
          <w:vertAlign w:val="superscript"/>
          <w:rtl w:val="0"/>
        </w:rPr>
        <w:t xml:space="preserve">. </w:t>
      </w:r>
      <w:r w:rsidDel="00000000" w:rsidR="00000000" w:rsidRPr="00000000">
        <w:rPr>
          <w:rtl w:val="0"/>
        </w:rPr>
      </w:r>
    </w:p>
  </w:footnote>
  <w:footnote w:id="1">
    <w:p w:rsidR="00000000" w:rsidDel="00000000" w:rsidP="00000000" w:rsidRDefault="00000000" w:rsidRPr="00000000" w14:paraId="0000000F">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Informed Consent in Decision-making in Pediatric Practice,” American Academy of Pediatrics Committee on Bioethics Policy Statement, </w:t>
      </w:r>
      <w:r w:rsidDel="00000000" w:rsidR="00000000" w:rsidRPr="00000000">
        <w:rPr>
          <w:i w:val="1"/>
          <w:sz w:val="20"/>
          <w:szCs w:val="20"/>
          <w:vertAlign w:val="superscript"/>
          <w:rtl w:val="0"/>
        </w:rPr>
        <w:t xml:space="preserve">Pediatrics</w:t>
      </w:r>
      <w:r w:rsidDel="00000000" w:rsidR="00000000" w:rsidRPr="00000000">
        <w:rPr>
          <w:sz w:val="20"/>
          <w:szCs w:val="20"/>
          <w:vertAlign w:val="superscript"/>
          <w:rtl w:val="0"/>
        </w:rPr>
        <w:t xml:space="preserve">138, no. 2 (2016): </w:t>
      </w:r>
      <w:hyperlink r:id="rId2">
        <w:r w:rsidDel="00000000" w:rsidR="00000000" w:rsidRPr="00000000">
          <w:rPr>
            <w:color w:val="1155cc"/>
            <w:sz w:val="20"/>
            <w:szCs w:val="20"/>
            <w:u w:val="single"/>
            <w:vertAlign w:val="superscript"/>
            <w:rtl w:val="0"/>
          </w:rPr>
          <w:t xml:space="preserve">https://pediatrics.aappublications.org/content/pediatrics/138/2/e20161484.full.pdf</w:t>
        </w:r>
      </w:hyperlink>
      <w:r w:rsidDel="00000000" w:rsidR="00000000" w:rsidRPr="00000000">
        <w:rPr>
          <w:sz w:val="20"/>
          <w:szCs w:val="20"/>
          <w:vertAlign w:val="superscript"/>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footnotes" Target="footnotes.xml"/><Relationship Id="rId9"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freelists.org/archives/hilac" TargetMode="External"/><Relationship Id="rId2" Type="http://schemas.openxmlformats.org/officeDocument/2006/relationships/hyperlink" Target="https://pediatrics.aappublications.org/content/pediatrics/138/2/e20161484.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A4204-DD6B-445C-8BFC-3554B4AD493B}"/>
</file>

<file path=customXml/itemProps2.xml><?xml version="1.0" encoding="utf-8"?>
<ds:datastoreItem xmlns:ds="http://schemas.openxmlformats.org/officeDocument/2006/customXml" ds:itemID="{6A327658-B2FC-4B80-8F34-94EC9AD5FE24}"/>
</file>

<file path=customXml/itemProps3.xml><?xml version="1.0" encoding="utf-8"?>
<ds:datastoreItem xmlns:ds="http://schemas.openxmlformats.org/officeDocument/2006/customXml" ds:itemID="{190F34C5-3917-4082-A54E-A4ED52D831C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ies>
</file>